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1A38A" w14:textId="61C13C1F" w:rsidR="00A320A0" w:rsidRPr="009624AA" w:rsidRDefault="00A320A0" w:rsidP="00A320A0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9624AA">
        <w:rPr>
          <w:rFonts w:ascii="Arial" w:hAnsi="Arial" w:cs="Arial"/>
          <w:b/>
          <w:sz w:val="24"/>
        </w:rPr>
        <w:t>Instructions for use:</w:t>
      </w:r>
    </w:p>
    <w:p w14:paraId="0174327B" w14:textId="22C7588D" w:rsidR="00A320A0" w:rsidRPr="009624AA" w:rsidRDefault="00A320A0" w:rsidP="00A320A0">
      <w:pPr>
        <w:spacing w:after="0" w:line="240" w:lineRule="auto"/>
        <w:rPr>
          <w:rFonts w:ascii="Arial" w:hAnsi="Arial" w:cs="Arial"/>
          <w:sz w:val="24"/>
        </w:rPr>
      </w:pPr>
      <w:r w:rsidRPr="009624AA">
        <w:rPr>
          <w:rFonts w:ascii="Arial" w:hAnsi="Arial" w:cs="Arial"/>
          <w:sz w:val="24"/>
        </w:rPr>
        <w:t xml:space="preserve">This template was designed to provide a thorough inventory of possible agenda items to cover during a standing Quality and Patient Safety Committee meetings. Every meeting may not </w:t>
      </w:r>
      <w:r w:rsidR="00574419" w:rsidRPr="009624AA">
        <w:rPr>
          <w:rFonts w:ascii="Arial" w:hAnsi="Arial" w:cs="Arial"/>
          <w:sz w:val="24"/>
        </w:rPr>
        <w:t>include</w:t>
      </w:r>
      <w:r w:rsidRPr="009624AA">
        <w:rPr>
          <w:rFonts w:ascii="Arial" w:hAnsi="Arial" w:cs="Arial"/>
          <w:sz w:val="24"/>
        </w:rPr>
        <w:t xml:space="preserve"> every agenda item</w:t>
      </w:r>
      <w:r w:rsidR="00574419" w:rsidRPr="009624AA">
        <w:rPr>
          <w:rFonts w:ascii="Arial" w:hAnsi="Arial" w:cs="Arial"/>
          <w:sz w:val="24"/>
        </w:rPr>
        <w:t>.</w:t>
      </w:r>
      <w:r w:rsidR="009624AA" w:rsidRPr="009624AA">
        <w:rPr>
          <w:rFonts w:ascii="Arial" w:hAnsi="Arial" w:cs="Arial"/>
          <w:sz w:val="24"/>
        </w:rPr>
        <w:t xml:space="preserve"> </w:t>
      </w:r>
      <w:r w:rsidR="00574419" w:rsidRPr="009624AA">
        <w:rPr>
          <w:rFonts w:ascii="Arial" w:hAnsi="Arial" w:cs="Arial"/>
          <w:sz w:val="24"/>
        </w:rPr>
        <w:t xml:space="preserve">Some agenda items are intended to provide documentation of tracking or regulatory compliance and will be only short updates. </w:t>
      </w:r>
      <w:r w:rsidRPr="009624AA">
        <w:rPr>
          <w:rFonts w:ascii="Arial" w:hAnsi="Arial" w:cs="Arial"/>
          <w:sz w:val="24"/>
        </w:rPr>
        <w:t>You might rotate agenda items, rem</w:t>
      </w:r>
      <w:r w:rsidR="00A13CD0">
        <w:rPr>
          <w:rFonts w:ascii="Arial" w:hAnsi="Arial" w:cs="Arial"/>
          <w:sz w:val="24"/>
        </w:rPr>
        <w:softHyphen/>
      </w:r>
      <w:r w:rsidRPr="009624AA">
        <w:rPr>
          <w:rFonts w:ascii="Arial" w:hAnsi="Arial" w:cs="Arial"/>
          <w:sz w:val="24"/>
        </w:rPr>
        <w:t>ove agenda items that are not applicable, or hold less frequent and longer meetings to accommodate</w:t>
      </w:r>
      <w:r w:rsidR="00574419" w:rsidRPr="009624AA">
        <w:rPr>
          <w:rFonts w:ascii="Arial" w:hAnsi="Arial" w:cs="Arial"/>
          <w:sz w:val="24"/>
        </w:rPr>
        <w:t xml:space="preserve"> what you determine to be necessary. </w:t>
      </w:r>
    </w:p>
    <w:p w14:paraId="0C7BB8FB" w14:textId="77777777" w:rsidR="00A320A0" w:rsidRDefault="00A320A0" w:rsidP="008E1D9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0441C9E" w14:textId="6CB97D65" w:rsidR="00C47328" w:rsidRPr="00B361B0" w:rsidRDefault="007240C1" w:rsidP="008E1D9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361B0">
        <w:rPr>
          <w:rFonts w:ascii="Arial" w:hAnsi="Arial" w:cs="Arial"/>
          <w:b/>
          <w:sz w:val="32"/>
        </w:rPr>
        <w:t>Quality and Patient Safety Committee Meeting Agenda/Minute Template</w:t>
      </w:r>
    </w:p>
    <w:p w14:paraId="33E6BBF0" w14:textId="35C4A547" w:rsidR="007240C1" w:rsidRPr="00B361B0" w:rsidRDefault="007240C1" w:rsidP="008E1D9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B361B0">
        <w:rPr>
          <w:rFonts w:ascii="Arial" w:hAnsi="Arial" w:cs="Arial"/>
          <w:b/>
          <w:sz w:val="32"/>
        </w:rPr>
        <w:t xml:space="preserve">Date: </w:t>
      </w:r>
    </w:p>
    <w:p w14:paraId="00441CA1" w14:textId="77777777" w:rsidR="008F5BC5" w:rsidRPr="00B361B0" w:rsidRDefault="008F5BC5" w:rsidP="0038272A">
      <w:pPr>
        <w:pStyle w:val="NoSpacing"/>
        <w:rPr>
          <w:rFonts w:ascii="Arial" w:hAnsi="Arial" w:cs="Arial"/>
        </w:rPr>
      </w:pPr>
    </w:p>
    <w:p w14:paraId="79E49EB6" w14:textId="230C8F6B" w:rsidR="00B72B62" w:rsidRPr="00B361B0" w:rsidRDefault="00733F18" w:rsidP="0052296D">
      <w:pPr>
        <w:pStyle w:val="NoSpacing"/>
        <w:rPr>
          <w:rFonts w:ascii="Arial" w:hAnsi="Arial" w:cs="Arial"/>
          <w:b/>
          <w:u w:val="single"/>
        </w:rPr>
      </w:pPr>
      <w:r w:rsidRPr="00B361B0">
        <w:rPr>
          <w:rFonts w:ascii="Arial" w:hAnsi="Arial" w:cs="Arial"/>
          <w:b/>
          <w:u w:val="single"/>
        </w:rPr>
        <w:t>Attendees</w:t>
      </w:r>
      <w:r w:rsidR="007240C1" w:rsidRPr="00B361B0">
        <w:rPr>
          <w:rFonts w:ascii="Arial" w:hAnsi="Arial" w:cs="Arial"/>
          <w:b/>
          <w:u w:val="single"/>
        </w:rPr>
        <w:t>:</w:t>
      </w:r>
    </w:p>
    <w:p w14:paraId="00441CA7" w14:textId="77777777" w:rsidR="008F5BC5" w:rsidRPr="00B361B0" w:rsidRDefault="008F5BC5" w:rsidP="0052296D">
      <w:pPr>
        <w:pStyle w:val="NoSpacing"/>
        <w:rPr>
          <w:rFonts w:ascii="Arial" w:hAnsi="Arial" w:cs="Arial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879"/>
        <w:gridCol w:w="1510"/>
        <w:gridCol w:w="4635"/>
        <w:gridCol w:w="2932"/>
        <w:gridCol w:w="1642"/>
        <w:gridCol w:w="897"/>
      </w:tblGrid>
      <w:tr w:rsidR="00DA6303" w:rsidRPr="00B361B0" w14:paraId="58E2F5A4" w14:textId="25AA00FC" w:rsidTr="00521F4C">
        <w:tc>
          <w:tcPr>
            <w:tcW w:w="1751" w:type="dxa"/>
          </w:tcPr>
          <w:p w14:paraId="0FA99F8F" w14:textId="520E5C5F" w:rsidR="00DA6303" w:rsidRPr="00B361B0" w:rsidRDefault="00DA6303" w:rsidP="0052296D">
            <w:pPr>
              <w:pStyle w:val="NoSpacing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>Agenda Item</w:t>
            </w:r>
            <w:r w:rsidR="009624AA">
              <w:rPr>
                <w:rFonts w:ascii="Arial" w:hAnsi="Arial" w:cs="Arial"/>
                <w:b/>
              </w:rPr>
              <w:t xml:space="preserve">  </w:t>
            </w:r>
            <w:r w:rsidRPr="00B361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21" w:type="dxa"/>
          </w:tcPr>
          <w:p w14:paraId="795AE459" w14:textId="268F6F8A" w:rsidR="00DA6303" w:rsidRPr="00B361B0" w:rsidRDefault="00DA6303" w:rsidP="00DA6303">
            <w:pPr>
              <w:pStyle w:val="NoSpacing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>Data</w:t>
            </w:r>
            <w:r w:rsidR="009624AA">
              <w:rPr>
                <w:rFonts w:ascii="Arial" w:hAnsi="Arial" w:cs="Arial"/>
                <w:b/>
              </w:rPr>
              <w:t xml:space="preserve"> </w:t>
            </w:r>
            <w:r w:rsidRPr="00B361B0">
              <w:rPr>
                <w:rFonts w:ascii="Arial" w:hAnsi="Arial" w:cs="Arial"/>
                <w:b/>
              </w:rPr>
              <w:t>Review (if applicable)</w:t>
            </w:r>
          </w:p>
        </w:tc>
        <w:tc>
          <w:tcPr>
            <w:tcW w:w="4794" w:type="dxa"/>
          </w:tcPr>
          <w:p w14:paraId="6FBCDEFE" w14:textId="1C4D454C" w:rsidR="00DA6303" w:rsidRPr="00B361B0" w:rsidRDefault="00DA6303" w:rsidP="00DA6303">
            <w:pPr>
              <w:pStyle w:val="NoSpacing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>Discussion/conclusion</w:t>
            </w:r>
          </w:p>
        </w:tc>
        <w:tc>
          <w:tcPr>
            <w:tcW w:w="3091" w:type="dxa"/>
          </w:tcPr>
          <w:p w14:paraId="2EF71B66" w14:textId="0B023BCD" w:rsidR="00DA6303" w:rsidRPr="00B361B0" w:rsidRDefault="00DA6303" w:rsidP="0052296D">
            <w:pPr>
              <w:pStyle w:val="NoSpacing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440" w:type="dxa"/>
          </w:tcPr>
          <w:p w14:paraId="6D64EEC2" w14:textId="73BA0AA7" w:rsidR="00DA6303" w:rsidRPr="00B361B0" w:rsidRDefault="00DA6303" w:rsidP="00AF6A08">
            <w:pPr>
              <w:pStyle w:val="NoSpacing"/>
              <w:ind w:left="117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898" w:type="dxa"/>
          </w:tcPr>
          <w:p w14:paraId="05F49752" w14:textId="3B9F67FB" w:rsidR="00DA6303" w:rsidRPr="00B361B0" w:rsidRDefault="00DA6303" w:rsidP="008E27AA">
            <w:pPr>
              <w:pStyle w:val="NoSpacing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 xml:space="preserve">Target Date </w:t>
            </w:r>
          </w:p>
        </w:tc>
      </w:tr>
      <w:tr w:rsidR="00DA6303" w:rsidRPr="00B361B0" w14:paraId="669FFF7C" w14:textId="3855323C" w:rsidTr="00521F4C">
        <w:trPr>
          <w:trHeight w:val="377"/>
        </w:trPr>
        <w:tc>
          <w:tcPr>
            <w:tcW w:w="1751" w:type="dxa"/>
          </w:tcPr>
          <w:p w14:paraId="03B92356" w14:textId="760B77CE" w:rsidR="00DA6303" w:rsidRPr="00B361B0" w:rsidRDefault="00DA6303" w:rsidP="00270CA6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Patient Story</w:t>
            </w:r>
            <w:r w:rsidR="000F2CDC"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1" w:type="dxa"/>
          </w:tcPr>
          <w:p w14:paraId="708D3F54" w14:textId="6953B23D" w:rsidR="00DA6303" w:rsidRPr="00B361B0" w:rsidRDefault="00DA6303" w:rsidP="00107DF5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0209F89C" w14:textId="77777777" w:rsidR="00DA6303" w:rsidRPr="00B361B0" w:rsidRDefault="00DA6303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2635B0E5" w14:textId="6F0A87D5" w:rsidR="00DA6303" w:rsidRPr="00B361B0" w:rsidRDefault="00DA6303" w:rsidP="00C1621C">
            <w:pPr>
              <w:pStyle w:val="NoSpacing"/>
              <w:rPr>
                <w:rFonts w:ascii="Arial" w:hAnsi="Arial" w:cs="Arial"/>
              </w:rPr>
            </w:pPr>
          </w:p>
          <w:p w14:paraId="75C37658" w14:textId="39BC8AE8" w:rsidR="00DA6303" w:rsidRPr="00B361B0" w:rsidRDefault="00DA6303" w:rsidP="00C162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C51D2F8" w14:textId="77777777" w:rsidR="00DA6303" w:rsidRPr="00B361B0" w:rsidRDefault="00DA6303">
            <w:pPr>
              <w:rPr>
                <w:rFonts w:ascii="Arial" w:hAnsi="Arial" w:cs="Arial"/>
              </w:rPr>
            </w:pPr>
          </w:p>
          <w:p w14:paraId="44084527" w14:textId="77777777" w:rsidR="00DA6303" w:rsidRPr="00B361B0" w:rsidRDefault="00DA6303" w:rsidP="00C1621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7750A7A" w14:textId="4052D027" w:rsidR="00DA6303" w:rsidRPr="00B361B0" w:rsidRDefault="00DA6303" w:rsidP="00585E54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</w:tr>
      <w:tr w:rsidR="00DA6303" w:rsidRPr="00B361B0" w14:paraId="6597044E" w14:textId="00D4C39D" w:rsidTr="00521F4C">
        <w:trPr>
          <w:trHeight w:val="728"/>
        </w:trPr>
        <w:tc>
          <w:tcPr>
            <w:tcW w:w="1751" w:type="dxa"/>
          </w:tcPr>
          <w:p w14:paraId="3267A607" w14:textId="3AB694D5" w:rsidR="00DA6303" w:rsidRPr="00B361B0" w:rsidRDefault="000F2CDC" w:rsidP="000F2CDC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Policy/Procedure Review</w:t>
            </w:r>
          </w:p>
        </w:tc>
        <w:tc>
          <w:tcPr>
            <w:tcW w:w="1521" w:type="dxa"/>
          </w:tcPr>
          <w:p w14:paraId="4D593AE6" w14:textId="25393616" w:rsidR="00DA6303" w:rsidRPr="00B361B0" w:rsidRDefault="00DA6303" w:rsidP="00AF6A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94" w:type="dxa"/>
          </w:tcPr>
          <w:p w14:paraId="4F0F2507" w14:textId="77777777" w:rsidR="00DA6303" w:rsidRPr="00B361B0" w:rsidRDefault="00DA6303" w:rsidP="00AF6A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73357A05" w14:textId="41891E06" w:rsidR="00DA6303" w:rsidRPr="00B361B0" w:rsidRDefault="00DA6303" w:rsidP="00DA6303">
            <w:pPr>
              <w:pStyle w:val="NoSpacing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1E8E9458" w14:textId="77777777" w:rsidR="00DA6303" w:rsidRPr="00B361B0" w:rsidRDefault="00DA6303" w:rsidP="00BA321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</w:tcPr>
          <w:p w14:paraId="7D61072B" w14:textId="2FB2D853" w:rsidR="00DA6303" w:rsidRPr="00B361B0" w:rsidRDefault="00DA6303" w:rsidP="009B7312">
            <w:pPr>
              <w:pStyle w:val="NoSpacing"/>
              <w:rPr>
                <w:rFonts w:ascii="Arial" w:hAnsi="Arial" w:cs="Arial"/>
              </w:rPr>
            </w:pPr>
          </w:p>
        </w:tc>
      </w:tr>
      <w:tr w:rsidR="00DA6303" w:rsidRPr="00B361B0" w14:paraId="69D40F5A" w14:textId="77777777" w:rsidTr="00521F4C">
        <w:trPr>
          <w:trHeight w:val="350"/>
        </w:trPr>
        <w:tc>
          <w:tcPr>
            <w:tcW w:w="1751" w:type="dxa"/>
          </w:tcPr>
          <w:p w14:paraId="434FAC25" w14:textId="7143EE34" w:rsidR="00DA6303" w:rsidRPr="00B361B0" w:rsidRDefault="000F2CDC" w:rsidP="000F2CDC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Patient Safety Culture (HSOPS, Just culture, TeamSTEPPS, etc.)</w:t>
            </w:r>
          </w:p>
        </w:tc>
        <w:tc>
          <w:tcPr>
            <w:tcW w:w="1521" w:type="dxa"/>
          </w:tcPr>
          <w:p w14:paraId="1917AB70" w14:textId="2ACD50C8" w:rsidR="00DA6303" w:rsidRPr="00B361B0" w:rsidRDefault="00DA6303" w:rsidP="00910730">
            <w:pPr>
              <w:pStyle w:val="NoSpacing"/>
              <w:rPr>
                <w:rFonts w:ascii="Arial" w:hAnsi="Arial" w:cs="Arial"/>
              </w:rPr>
            </w:pPr>
          </w:p>
          <w:p w14:paraId="628BDA63" w14:textId="69523E49" w:rsidR="00DA6303" w:rsidRPr="00B361B0" w:rsidRDefault="009624AA" w:rsidP="009107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55A89235" w14:textId="77777777" w:rsidR="00DA6303" w:rsidRPr="00B361B0" w:rsidRDefault="00DA6303" w:rsidP="009107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2A45E4BA" w14:textId="1236A6C5" w:rsidR="00DA6303" w:rsidRPr="00B361B0" w:rsidRDefault="00DA6303" w:rsidP="009107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18DA4D" w14:textId="77777777" w:rsidR="00DA6303" w:rsidRPr="00B361B0" w:rsidRDefault="00DA6303" w:rsidP="0091073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6648877" w14:textId="1DA1E3E7" w:rsidR="00DA6303" w:rsidRPr="00B361B0" w:rsidRDefault="00DA6303" w:rsidP="00585E54">
            <w:pPr>
              <w:pStyle w:val="NoSpacing"/>
              <w:rPr>
                <w:rFonts w:ascii="Arial" w:hAnsi="Arial" w:cs="Arial"/>
              </w:rPr>
            </w:pPr>
          </w:p>
        </w:tc>
      </w:tr>
      <w:tr w:rsidR="00DA6303" w:rsidRPr="00B361B0" w14:paraId="0E691661" w14:textId="77777777" w:rsidTr="00091C3F">
        <w:trPr>
          <w:trHeight w:val="515"/>
        </w:trPr>
        <w:tc>
          <w:tcPr>
            <w:tcW w:w="1751" w:type="dxa"/>
          </w:tcPr>
          <w:p w14:paraId="47E23884" w14:textId="77777777" w:rsidR="00DA6303" w:rsidRPr="00B361B0" w:rsidRDefault="00091C3F" w:rsidP="00585E54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HCAHPS</w:t>
            </w:r>
          </w:p>
          <w:p w14:paraId="15A50D39" w14:textId="00E37C65" w:rsidR="00091C3F" w:rsidRPr="00B361B0" w:rsidRDefault="00091C3F" w:rsidP="00585E5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77F8F6CE" w14:textId="68DF074D" w:rsidR="00DA6303" w:rsidRPr="00B361B0" w:rsidRDefault="00DA6303" w:rsidP="00F61C67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5B0F4BD9" w14:textId="77777777" w:rsidR="00DA6303" w:rsidRPr="00B361B0" w:rsidRDefault="00DA6303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25213865" w14:textId="06CBFF56" w:rsidR="00DA6303" w:rsidRPr="00B361B0" w:rsidRDefault="00DA6303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A9102A4" w14:textId="77777777" w:rsidR="00DA6303" w:rsidRPr="00B361B0" w:rsidRDefault="00DA6303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67D4267" w14:textId="66ADF4B0" w:rsidR="00DA6303" w:rsidRPr="00B361B0" w:rsidRDefault="00DA6303" w:rsidP="008E27AA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</w:tr>
      <w:tr w:rsidR="00091C3F" w:rsidRPr="00B361B0" w14:paraId="237AB3F2" w14:textId="77777777" w:rsidTr="00091C3F">
        <w:trPr>
          <w:trHeight w:val="450"/>
        </w:trPr>
        <w:tc>
          <w:tcPr>
            <w:tcW w:w="1751" w:type="dxa"/>
          </w:tcPr>
          <w:p w14:paraId="1D86979E" w14:textId="68E7BDFA" w:rsidR="00091C3F" w:rsidRPr="00B361B0" w:rsidRDefault="00091C3F" w:rsidP="00091C3F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Healthcare alerts (JC Sentinel event, </w:t>
            </w:r>
            <w:r w:rsidR="00B361B0" w:rsidRPr="00B361B0">
              <w:rPr>
                <w:rFonts w:ascii="Arial" w:hAnsi="Arial" w:cs="Arial"/>
              </w:rPr>
              <w:t>etc.</w:t>
            </w:r>
            <w:r w:rsidRPr="00B361B0">
              <w:rPr>
                <w:rFonts w:ascii="Arial" w:hAnsi="Arial" w:cs="Arial"/>
              </w:rPr>
              <w:t>)</w:t>
            </w:r>
          </w:p>
        </w:tc>
        <w:tc>
          <w:tcPr>
            <w:tcW w:w="1521" w:type="dxa"/>
          </w:tcPr>
          <w:p w14:paraId="4F73550D" w14:textId="77777777" w:rsidR="00091C3F" w:rsidRPr="00B361B0" w:rsidRDefault="00091C3F" w:rsidP="00F61C6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94" w:type="dxa"/>
          </w:tcPr>
          <w:p w14:paraId="1692A699" w14:textId="77777777" w:rsidR="00091C3F" w:rsidRPr="00B361B0" w:rsidRDefault="00091C3F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130DEB04" w14:textId="77777777" w:rsidR="00091C3F" w:rsidRPr="00B361B0" w:rsidRDefault="00091C3F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FDAB1C" w14:textId="77777777" w:rsidR="00091C3F" w:rsidRPr="00B361B0" w:rsidRDefault="00091C3F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999FC8D" w14:textId="77777777" w:rsidR="00091C3F" w:rsidRPr="00B361B0" w:rsidRDefault="00091C3F" w:rsidP="008E27AA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1D3624BE" w14:textId="77777777" w:rsidTr="00091C3F">
        <w:trPr>
          <w:trHeight w:val="405"/>
        </w:trPr>
        <w:tc>
          <w:tcPr>
            <w:tcW w:w="1751" w:type="dxa"/>
          </w:tcPr>
          <w:p w14:paraId="39F86543" w14:textId="39FE8401" w:rsidR="00091C3F" w:rsidRPr="00B361B0" w:rsidRDefault="00AD5522" w:rsidP="00AD552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Proactive Risk Assessments</w:t>
            </w:r>
          </w:p>
        </w:tc>
        <w:tc>
          <w:tcPr>
            <w:tcW w:w="1521" w:type="dxa"/>
          </w:tcPr>
          <w:p w14:paraId="095186A5" w14:textId="77777777" w:rsidR="00091C3F" w:rsidRPr="00B361B0" w:rsidRDefault="00091C3F" w:rsidP="00F61C6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94" w:type="dxa"/>
          </w:tcPr>
          <w:p w14:paraId="17A7307A" w14:textId="77777777" w:rsidR="00091C3F" w:rsidRPr="00B361B0" w:rsidRDefault="00091C3F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03FB6535" w14:textId="77777777" w:rsidR="00091C3F" w:rsidRPr="00B361B0" w:rsidRDefault="00091C3F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E664E29" w14:textId="77777777" w:rsidR="00091C3F" w:rsidRPr="00B361B0" w:rsidRDefault="00091C3F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5D165AC" w14:textId="77777777" w:rsidR="00091C3F" w:rsidRPr="00B361B0" w:rsidRDefault="00091C3F" w:rsidP="008E27AA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7114E6DE" w14:textId="77777777" w:rsidTr="00091C3F">
        <w:trPr>
          <w:trHeight w:val="465"/>
        </w:trPr>
        <w:tc>
          <w:tcPr>
            <w:tcW w:w="1751" w:type="dxa"/>
          </w:tcPr>
          <w:p w14:paraId="53EF0435" w14:textId="741AF8C5" w:rsidR="00091C3F" w:rsidRPr="00B361B0" w:rsidRDefault="00AD5522" w:rsidP="00585E54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Root Cause Analyses</w:t>
            </w:r>
          </w:p>
        </w:tc>
        <w:tc>
          <w:tcPr>
            <w:tcW w:w="1521" w:type="dxa"/>
          </w:tcPr>
          <w:p w14:paraId="13813DAC" w14:textId="77777777" w:rsidR="00091C3F" w:rsidRPr="00B361B0" w:rsidRDefault="00091C3F" w:rsidP="00F61C6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94" w:type="dxa"/>
          </w:tcPr>
          <w:p w14:paraId="6027AFD9" w14:textId="77777777" w:rsidR="00091C3F" w:rsidRPr="00B361B0" w:rsidRDefault="00091C3F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6D91F2CB" w14:textId="77777777" w:rsidR="00091C3F" w:rsidRPr="00B361B0" w:rsidRDefault="00091C3F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1C4338" w14:textId="77777777" w:rsidR="00091C3F" w:rsidRPr="00B361B0" w:rsidRDefault="00091C3F" w:rsidP="00CB3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E4B7D5B" w14:textId="77777777" w:rsidR="00091C3F" w:rsidRPr="00B361B0" w:rsidRDefault="00091C3F" w:rsidP="008E27AA">
            <w:pPr>
              <w:pStyle w:val="NoSpacing"/>
              <w:rPr>
                <w:rFonts w:ascii="Arial" w:hAnsi="Arial" w:cs="Arial"/>
              </w:rPr>
            </w:pPr>
          </w:p>
        </w:tc>
      </w:tr>
      <w:tr w:rsidR="00DA6303" w:rsidRPr="00B361B0" w14:paraId="3088D5BD" w14:textId="77777777" w:rsidTr="00521F4C">
        <w:trPr>
          <w:trHeight w:val="440"/>
        </w:trPr>
        <w:tc>
          <w:tcPr>
            <w:tcW w:w="1751" w:type="dxa"/>
          </w:tcPr>
          <w:p w14:paraId="03FA8663" w14:textId="109FE01A" w:rsidR="00DA6303" w:rsidRPr="00B361B0" w:rsidRDefault="000F2CDC" w:rsidP="00916E1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Falls</w:t>
            </w:r>
            <w:r w:rsidR="00521F4C" w:rsidRPr="00B361B0">
              <w:rPr>
                <w:rFonts w:ascii="Arial" w:hAnsi="Arial" w:cs="Arial"/>
              </w:rPr>
              <w:t xml:space="preserve"> reported</w:t>
            </w:r>
          </w:p>
          <w:p w14:paraId="6B905DA4" w14:textId="62BAFC94" w:rsidR="00521F4C" w:rsidRPr="00B361B0" w:rsidRDefault="00521F4C" w:rsidP="00916E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7524332A" w14:textId="18832B6B" w:rsidR="00DA6303" w:rsidRPr="00B361B0" w:rsidRDefault="00DA6303" w:rsidP="00413A23">
            <w:pPr>
              <w:ind w:left="45"/>
              <w:rPr>
                <w:rFonts w:ascii="Arial" w:hAnsi="Arial" w:cs="Arial"/>
                <w:b/>
              </w:rPr>
            </w:pPr>
            <w:r w:rsidRPr="00B361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94" w:type="dxa"/>
          </w:tcPr>
          <w:p w14:paraId="56FD8AAF" w14:textId="77777777" w:rsidR="00DA6303" w:rsidRPr="00B361B0" w:rsidRDefault="00DA6303" w:rsidP="00DA6303">
            <w:pPr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14:paraId="0E53AA70" w14:textId="2ADC0D78" w:rsidR="00DA6303" w:rsidRPr="00B361B0" w:rsidRDefault="00DA6303" w:rsidP="0039492B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706EACAB" w14:textId="77777777" w:rsidR="00DA6303" w:rsidRPr="00B361B0" w:rsidRDefault="00DA6303" w:rsidP="00AF6A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ABE45CE" w14:textId="61220034" w:rsidR="00DA6303" w:rsidRPr="00B361B0" w:rsidRDefault="00DA6303" w:rsidP="008E41F8">
            <w:pPr>
              <w:pStyle w:val="NoSpacing"/>
              <w:rPr>
                <w:rFonts w:ascii="Arial" w:hAnsi="Arial" w:cs="Arial"/>
              </w:rPr>
            </w:pPr>
          </w:p>
        </w:tc>
      </w:tr>
      <w:tr w:rsidR="00DA6303" w:rsidRPr="00B361B0" w14:paraId="45D6EBC8" w14:textId="77777777" w:rsidTr="00521F4C">
        <w:trPr>
          <w:trHeight w:val="314"/>
        </w:trPr>
        <w:tc>
          <w:tcPr>
            <w:tcW w:w="1751" w:type="dxa"/>
          </w:tcPr>
          <w:p w14:paraId="62D7984C" w14:textId="18272676" w:rsidR="00DA6303" w:rsidRPr="00B361B0" w:rsidRDefault="000F2CDC" w:rsidP="000E202D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lastRenderedPageBreak/>
              <w:t>Pressure Ulcers</w:t>
            </w:r>
          </w:p>
          <w:p w14:paraId="36390930" w14:textId="3A78B639" w:rsidR="00521F4C" w:rsidRPr="00B361B0" w:rsidRDefault="00521F4C" w:rsidP="000E202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0ADC29E" w14:textId="77777777" w:rsidR="00DA6303" w:rsidRPr="00B361B0" w:rsidRDefault="00DA6303" w:rsidP="00AF6A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94" w:type="dxa"/>
          </w:tcPr>
          <w:p w14:paraId="17ED995E" w14:textId="77777777" w:rsidR="00DA6303" w:rsidRPr="00B361B0" w:rsidRDefault="00DA6303" w:rsidP="00AF6A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35101937" w14:textId="752B4471" w:rsidR="00DA6303" w:rsidRPr="00B361B0" w:rsidRDefault="00DA6303" w:rsidP="00C22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C379EE2" w14:textId="77777777" w:rsidR="00DA6303" w:rsidRPr="00B361B0" w:rsidRDefault="00DA6303" w:rsidP="00C221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5A42973" w14:textId="21357E36" w:rsidR="00DA6303" w:rsidRPr="00B361B0" w:rsidRDefault="00DA6303" w:rsidP="00C22155">
            <w:pPr>
              <w:pStyle w:val="NoSpacing"/>
              <w:rPr>
                <w:rFonts w:ascii="Arial" w:hAnsi="Arial" w:cs="Arial"/>
              </w:rPr>
            </w:pPr>
          </w:p>
        </w:tc>
      </w:tr>
      <w:tr w:rsidR="00DA6303" w:rsidRPr="00B361B0" w14:paraId="2B287FDF" w14:textId="77777777" w:rsidTr="00091C3F">
        <w:trPr>
          <w:trHeight w:val="512"/>
        </w:trPr>
        <w:tc>
          <w:tcPr>
            <w:tcW w:w="1751" w:type="dxa"/>
          </w:tcPr>
          <w:p w14:paraId="0C80F9B4" w14:textId="6BEC3553" w:rsidR="00DA6303" w:rsidRPr="00B361B0" w:rsidRDefault="00521F4C" w:rsidP="00521F4C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Other Incidents</w:t>
            </w:r>
          </w:p>
        </w:tc>
        <w:tc>
          <w:tcPr>
            <w:tcW w:w="1521" w:type="dxa"/>
          </w:tcPr>
          <w:p w14:paraId="62726E37" w14:textId="371011F6" w:rsidR="00DA6303" w:rsidRPr="00B361B0" w:rsidRDefault="00DA6303" w:rsidP="001E5A9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0524F831" w14:textId="77777777" w:rsidR="00DA6303" w:rsidRPr="00B361B0" w:rsidRDefault="00DA6303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5AFB128A" w14:textId="31542BE7" w:rsidR="00DA6303" w:rsidRPr="00B361B0" w:rsidRDefault="00DA6303" w:rsidP="00477E7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85D003" w14:textId="77777777" w:rsidR="00DA6303" w:rsidRPr="00B361B0" w:rsidRDefault="00DA6303" w:rsidP="00477E7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D031AD0" w14:textId="0B2AFF03" w:rsidR="00DA6303" w:rsidRPr="00B361B0" w:rsidRDefault="00DA6303" w:rsidP="00E31A2D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</w:tr>
      <w:tr w:rsidR="00DA6303" w:rsidRPr="00B361B0" w14:paraId="4633EACE" w14:textId="77777777" w:rsidTr="00521F4C">
        <w:trPr>
          <w:trHeight w:val="314"/>
        </w:trPr>
        <w:tc>
          <w:tcPr>
            <w:tcW w:w="1751" w:type="dxa"/>
          </w:tcPr>
          <w:p w14:paraId="5D665559" w14:textId="3B171DEA" w:rsidR="00521F4C" w:rsidRPr="00B361B0" w:rsidRDefault="00091C3F" w:rsidP="00E473A3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Medication errors reported </w:t>
            </w:r>
          </w:p>
        </w:tc>
        <w:tc>
          <w:tcPr>
            <w:tcW w:w="1521" w:type="dxa"/>
          </w:tcPr>
          <w:p w14:paraId="6B782D70" w14:textId="5CA9DC47" w:rsidR="00DA6303" w:rsidRPr="00B361B0" w:rsidRDefault="00DA6303" w:rsidP="0039492B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13F40962" w14:textId="77777777" w:rsidR="00DA6303" w:rsidRPr="00B361B0" w:rsidRDefault="00DA6303" w:rsidP="00DA63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7C74208A" w14:textId="229046AC" w:rsidR="00DA6303" w:rsidRPr="00B361B0" w:rsidRDefault="00DA6303" w:rsidP="00E473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983E878" w14:textId="77777777" w:rsidR="00DA6303" w:rsidRPr="00B361B0" w:rsidRDefault="00DA6303" w:rsidP="00E473A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E113BE8" w14:textId="6C2C45F0" w:rsidR="00DA6303" w:rsidRPr="00B361B0" w:rsidRDefault="00DA6303" w:rsidP="00E473A3">
            <w:pPr>
              <w:pStyle w:val="NoSpacing"/>
              <w:rPr>
                <w:rFonts w:ascii="Arial" w:hAnsi="Arial" w:cs="Arial"/>
              </w:rPr>
            </w:pPr>
          </w:p>
        </w:tc>
      </w:tr>
      <w:tr w:rsidR="00521F4C" w:rsidRPr="00B361B0" w14:paraId="6FF2DE1E" w14:textId="77777777" w:rsidTr="00521F4C">
        <w:trPr>
          <w:trHeight w:val="548"/>
        </w:trPr>
        <w:tc>
          <w:tcPr>
            <w:tcW w:w="1751" w:type="dxa"/>
          </w:tcPr>
          <w:p w14:paraId="31A89FA3" w14:textId="49C698AC" w:rsidR="00521F4C" w:rsidRPr="00B361B0" w:rsidRDefault="00091C3F" w:rsidP="00AD552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Adverse Drug Events (ADE)</w:t>
            </w:r>
          </w:p>
        </w:tc>
        <w:tc>
          <w:tcPr>
            <w:tcW w:w="1521" w:type="dxa"/>
          </w:tcPr>
          <w:p w14:paraId="2D00F85F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19452B48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0D9A29AC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3D6E05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5B29B0B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521F4C" w:rsidRPr="00B361B0" w14:paraId="7D4987D8" w14:textId="77777777" w:rsidTr="00521F4C">
        <w:trPr>
          <w:trHeight w:val="782"/>
        </w:trPr>
        <w:tc>
          <w:tcPr>
            <w:tcW w:w="1751" w:type="dxa"/>
          </w:tcPr>
          <w:p w14:paraId="313FB877" w14:textId="46877D60" w:rsidR="00521F4C" w:rsidRPr="00B361B0" w:rsidRDefault="00521F4C" w:rsidP="006B141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OP</w:t>
            </w:r>
            <w:r w:rsidR="006B1412" w:rsidRPr="00B361B0">
              <w:rPr>
                <w:rFonts w:ascii="Arial" w:hAnsi="Arial" w:cs="Arial"/>
              </w:rPr>
              <w:t>-2</w:t>
            </w:r>
            <w:r w:rsidRPr="00B361B0">
              <w:rPr>
                <w:rFonts w:ascii="Arial" w:hAnsi="Arial" w:cs="Arial"/>
              </w:rPr>
              <w:t>7 Influenza coverage among HCP</w:t>
            </w:r>
          </w:p>
        </w:tc>
        <w:tc>
          <w:tcPr>
            <w:tcW w:w="1521" w:type="dxa"/>
          </w:tcPr>
          <w:p w14:paraId="74948A70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018FE965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08F9812A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6DCE7F2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3BB2364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521F4C" w:rsidRPr="00B361B0" w14:paraId="587538D5" w14:textId="77777777" w:rsidTr="00521F4C">
        <w:trPr>
          <w:trHeight w:val="314"/>
        </w:trPr>
        <w:tc>
          <w:tcPr>
            <w:tcW w:w="1751" w:type="dxa"/>
          </w:tcPr>
          <w:p w14:paraId="5BB78A7E" w14:textId="3DA1A132" w:rsidR="00521F4C" w:rsidRPr="00B361B0" w:rsidRDefault="00521F4C" w:rsidP="00521F4C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Imm-2: Influenza Immunization</w:t>
            </w:r>
          </w:p>
        </w:tc>
        <w:tc>
          <w:tcPr>
            <w:tcW w:w="1521" w:type="dxa"/>
          </w:tcPr>
          <w:p w14:paraId="2B48FBA9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29EB4DD9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4316544D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AACD8FA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40CC1D7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521F4C" w:rsidRPr="00B361B0" w14:paraId="04FB25ED" w14:textId="77777777" w:rsidTr="00521F4C">
        <w:trPr>
          <w:trHeight w:val="314"/>
        </w:trPr>
        <w:tc>
          <w:tcPr>
            <w:tcW w:w="1751" w:type="dxa"/>
          </w:tcPr>
          <w:p w14:paraId="59F39117" w14:textId="2169DBCA" w:rsidR="00521F4C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AMI Care (OP 1, 2, 3, 5)</w:t>
            </w:r>
          </w:p>
          <w:p w14:paraId="70120CF9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7F88A2B1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37D6526B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34249EED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F1AB95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15069E5" w14:textId="77777777" w:rsidR="00521F4C" w:rsidRPr="00B361B0" w:rsidRDefault="00521F4C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7D2844B1" w14:textId="77777777" w:rsidTr="006B1412">
        <w:trPr>
          <w:trHeight w:val="314"/>
        </w:trPr>
        <w:tc>
          <w:tcPr>
            <w:tcW w:w="1751" w:type="dxa"/>
          </w:tcPr>
          <w:p w14:paraId="29F5E2D3" w14:textId="0FB6409F" w:rsidR="006B1412" w:rsidRPr="00B361B0" w:rsidRDefault="006B1412" w:rsidP="006B141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OP-20 Door to diagnostic </w:t>
            </w:r>
          </w:p>
        </w:tc>
        <w:tc>
          <w:tcPr>
            <w:tcW w:w="1521" w:type="dxa"/>
          </w:tcPr>
          <w:p w14:paraId="590B89A6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2AAC8CB5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389EC8B5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E869023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B545406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34D797E8" w14:textId="77777777" w:rsidTr="006B1412">
        <w:trPr>
          <w:trHeight w:val="1070"/>
        </w:trPr>
        <w:tc>
          <w:tcPr>
            <w:tcW w:w="1751" w:type="dxa"/>
          </w:tcPr>
          <w:p w14:paraId="0DDE5EE5" w14:textId="07DF941A" w:rsidR="006B1412" w:rsidRPr="00B361B0" w:rsidRDefault="006B1412" w:rsidP="006B141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OP-21 Median time to pain management for LBF</w:t>
            </w:r>
          </w:p>
        </w:tc>
        <w:tc>
          <w:tcPr>
            <w:tcW w:w="1521" w:type="dxa"/>
          </w:tcPr>
          <w:p w14:paraId="26EB2965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269FD5FE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5CE143FE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8FA557E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6AEA408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22D8F7C0" w14:textId="77777777" w:rsidTr="006B1412">
        <w:trPr>
          <w:trHeight w:val="800"/>
        </w:trPr>
        <w:tc>
          <w:tcPr>
            <w:tcW w:w="1751" w:type="dxa"/>
          </w:tcPr>
          <w:p w14:paraId="57481E17" w14:textId="13B9FB4E" w:rsidR="006B1412" w:rsidRPr="00B361B0" w:rsidRDefault="006B1412" w:rsidP="006B141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OP-22 Patient left without being seen</w:t>
            </w:r>
          </w:p>
        </w:tc>
        <w:tc>
          <w:tcPr>
            <w:tcW w:w="1521" w:type="dxa"/>
          </w:tcPr>
          <w:p w14:paraId="04B732DF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032758AD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17819927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1DD1867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9FE10D7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115CFBD2" w14:textId="77777777" w:rsidTr="006B1412">
        <w:trPr>
          <w:trHeight w:val="314"/>
        </w:trPr>
        <w:tc>
          <w:tcPr>
            <w:tcW w:w="1751" w:type="dxa"/>
          </w:tcPr>
          <w:p w14:paraId="78A54D19" w14:textId="5DBFE98A" w:rsidR="006B1412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EDTC </w:t>
            </w:r>
          </w:p>
          <w:p w14:paraId="788BBBCE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3B0B444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4D0053DE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209E4A36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391B5EF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7FD7422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474B3C6E" w14:textId="77777777" w:rsidTr="006B1412">
        <w:trPr>
          <w:trHeight w:val="314"/>
        </w:trPr>
        <w:tc>
          <w:tcPr>
            <w:tcW w:w="1751" w:type="dxa"/>
          </w:tcPr>
          <w:p w14:paraId="52F68AE4" w14:textId="6F740F44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Perinatal Safety</w:t>
            </w:r>
          </w:p>
          <w:p w14:paraId="573B3AE6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164F5CE1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7DAAD69C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1DF82BB0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B0D315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E9EA5CC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4ADAACFE" w14:textId="77777777" w:rsidTr="006B1412">
        <w:trPr>
          <w:trHeight w:val="683"/>
        </w:trPr>
        <w:tc>
          <w:tcPr>
            <w:tcW w:w="1751" w:type="dxa"/>
          </w:tcPr>
          <w:p w14:paraId="188D6A1F" w14:textId="2E38E1AB" w:rsidR="006B1412" w:rsidRPr="00B361B0" w:rsidRDefault="006B1412" w:rsidP="006B141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Adverse Drug Events (ADE)</w:t>
            </w:r>
          </w:p>
        </w:tc>
        <w:tc>
          <w:tcPr>
            <w:tcW w:w="1521" w:type="dxa"/>
          </w:tcPr>
          <w:p w14:paraId="042CEC59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4A73D7F1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59300893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C5C8F2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8BAA1B7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2CB18183" w14:textId="77777777" w:rsidTr="006B1412">
        <w:trPr>
          <w:trHeight w:val="314"/>
        </w:trPr>
        <w:tc>
          <w:tcPr>
            <w:tcW w:w="1751" w:type="dxa"/>
          </w:tcPr>
          <w:p w14:paraId="32CBBFC7" w14:textId="3DB970E5" w:rsidR="006B1412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Surgical Safety</w:t>
            </w:r>
          </w:p>
          <w:p w14:paraId="4D890EAF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1E051DCD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45550D3A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6AE9360C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CB4B3F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5125E1F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44BD27E2" w14:textId="77777777" w:rsidTr="006B1412">
        <w:trPr>
          <w:trHeight w:val="314"/>
        </w:trPr>
        <w:tc>
          <w:tcPr>
            <w:tcW w:w="1751" w:type="dxa"/>
          </w:tcPr>
          <w:p w14:paraId="27F2E63A" w14:textId="680148EA" w:rsidR="006B1412" w:rsidRPr="00B361B0" w:rsidRDefault="00091C3F" w:rsidP="00091C3F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Healthcare Acquired Infections (HAI)</w:t>
            </w:r>
          </w:p>
        </w:tc>
        <w:tc>
          <w:tcPr>
            <w:tcW w:w="1521" w:type="dxa"/>
          </w:tcPr>
          <w:p w14:paraId="2C76F4CC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6A99F2A6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2EFEC184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52BE6A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75FE410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6B1412" w:rsidRPr="00B361B0" w14:paraId="719545BC" w14:textId="77777777" w:rsidTr="00091C3F">
        <w:trPr>
          <w:trHeight w:val="602"/>
        </w:trPr>
        <w:tc>
          <w:tcPr>
            <w:tcW w:w="1751" w:type="dxa"/>
          </w:tcPr>
          <w:p w14:paraId="20A7F47A" w14:textId="62DBE91B" w:rsidR="006B1412" w:rsidRPr="00B361B0" w:rsidRDefault="00AD5522" w:rsidP="00091C3F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Other</w:t>
            </w:r>
          </w:p>
        </w:tc>
        <w:tc>
          <w:tcPr>
            <w:tcW w:w="1521" w:type="dxa"/>
          </w:tcPr>
          <w:p w14:paraId="665AAC9B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3F9CB0AB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79325B59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E74D43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38BB46C" w14:textId="77777777" w:rsidR="006B1412" w:rsidRPr="00B361B0" w:rsidRDefault="006B1412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496C85F3" w14:textId="77777777" w:rsidTr="00605481">
        <w:trPr>
          <w:trHeight w:val="602"/>
        </w:trPr>
        <w:tc>
          <w:tcPr>
            <w:tcW w:w="1751" w:type="dxa"/>
          </w:tcPr>
          <w:p w14:paraId="0E30609A" w14:textId="298A9CDB" w:rsidR="00091C3F" w:rsidRPr="00B361B0" w:rsidRDefault="00AD552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Other</w:t>
            </w:r>
          </w:p>
        </w:tc>
        <w:tc>
          <w:tcPr>
            <w:tcW w:w="1521" w:type="dxa"/>
          </w:tcPr>
          <w:p w14:paraId="70F69ECD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40371AC7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1D0B2B52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089B943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E951C53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27141123" w14:textId="77777777" w:rsidTr="00091C3F">
        <w:trPr>
          <w:trHeight w:val="602"/>
        </w:trPr>
        <w:tc>
          <w:tcPr>
            <w:tcW w:w="1751" w:type="dxa"/>
          </w:tcPr>
          <w:p w14:paraId="2BE66252" w14:textId="45B0548D" w:rsidR="00091C3F" w:rsidRPr="00B361B0" w:rsidRDefault="00AD552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Other</w:t>
            </w:r>
          </w:p>
        </w:tc>
        <w:tc>
          <w:tcPr>
            <w:tcW w:w="1521" w:type="dxa"/>
          </w:tcPr>
          <w:p w14:paraId="4056ABF2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94" w:type="dxa"/>
          </w:tcPr>
          <w:p w14:paraId="580F39AE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5B24AF16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95DC7E5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DCA5B0F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64F983A7" w14:textId="77777777" w:rsidTr="00091C3F">
        <w:trPr>
          <w:trHeight w:val="602"/>
        </w:trPr>
        <w:tc>
          <w:tcPr>
            <w:tcW w:w="1751" w:type="dxa"/>
          </w:tcPr>
          <w:p w14:paraId="195DDCD9" w14:textId="1275C21E" w:rsidR="00091C3F" w:rsidRPr="00B361B0" w:rsidRDefault="00AD5522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Other</w:t>
            </w:r>
          </w:p>
        </w:tc>
        <w:tc>
          <w:tcPr>
            <w:tcW w:w="1521" w:type="dxa"/>
          </w:tcPr>
          <w:p w14:paraId="40EE4188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0F54C9F0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42D3B343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90D839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5C3D61B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18CDACC2" w14:textId="77777777" w:rsidTr="00091C3F">
        <w:trPr>
          <w:trHeight w:val="602"/>
        </w:trPr>
        <w:tc>
          <w:tcPr>
            <w:tcW w:w="1751" w:type="dxa"/>
          </w:tcPr>
          <w:p w14:paraId="006F5744" w14:textId="6FF1D7FD" w:rsidR="00091C3F" w:rsidRPr="00B361B0" w:rsidRDefault="00AD5522" w:rsidP="00AD5522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>Other</w:t>
            </w:r>
            <w:r w:rsidR="00091C3F"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1" w:type="dxa"/>
          </w:tcPr>
          <w:p w14:paraId="4A7378A9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4AE8C4A3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5ECC6CF7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37D3212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4F6BD6C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</w:tr>
      <w:tr w:rsidR="00091C3F" w:rsidRPr="00B361B0" w14:paraId="200E7B93" w14:textId="77777777" w:rsidTr="00091C3F">
        <w:trPr>
          <w:trHeight w:val="602"/>
        </w:trPr>
        <w:tc>
          <w:tcPr>
            <w:tcW w:w="1751" w:type="dxa"/>
          </w:tcPr>
          <w:p w14:paraId="2A1D363D" w14:textId="402E078E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1" w:type="dxa"/>
          </w:tcPr>
          <w:p w14:paraId="3DB69123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  <w:r w:rsidRPr="00B3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94" w:type="dxa"/>
          </w:tcPr>
          <w:p w14:paraId="1FEAB06D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097F0EBB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A64DA32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A13AE32" w14:textId="77777777" w:rsidR="00091C3F" w:rsidRPr="00B361B0" w:rsidRDefault="00091C3F" w:rsidP="0060548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3B922C2" w14:textId="7B7480B5" w:rsidR="007B6962" w:rsidRPr="00B361B0" w:rsidRDefault="007B6962" w:rsidP="005E08A5">
      <w:pPr>
        <w:pStyle w:val="NoSpacing"/>
        <w:rPr>
          <w:rFonts w:ascii="Arial" w:hAnsi="Arial" w:cs="Arial"/>
        </w:rPr>
      </w:pPr>
    </w:p>
    <w:sectPr w:rsidR="007B6962" w:rsidRPr="00B361B0" w:rsidSect="00144132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E078B" w14:textId="77777777" w:rsidR="004D1DDE" w:rsidRDefault="004D1DDE" w:rsidP="00163145">
      <w:pPr>
        <w:spacing w:after="0" w:line="240" w:lineRule="auto"/>
      </w:pPr>
      <w:r>
        <w:separator/>
      </w:r>
    </w:p>
  </w:endnote>
  <w:endnote w:type="continuationSeparator" w:id="0">
    <w:p w14:paraId="343A46A0" w14:textId="77777777" w:rsidR="004D1DDE" w:rsidRDefault="004D1DDE" w:rsidP="0016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128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2B1F7" w14:textId="07F41C16" w:rsidR="00163145" w:rsidRDefault="001631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11C62" w14:textId="77777777" w:rsidR="00163145" w:rsidRDefault="00163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5730" w14:textId="77777777" w:rsidR="004D1DDE" w:rsidRDefault="004D1DDE" w:rsidP="00163145">
      <w:pPr>
        <w:spacing w:after="0" w:line="240" w:lineRule="auto"/>
      </w:pPr>
      <w:r>
        <w:separator/>
      </w:r>
    </w:p>
  </w:footnote>
  <w:footnote w:type="continuationSeparator" w:id="0">
    <w:p w14:paraId="35F098E1" w14:textId="77777777" w:rsidR="004D1DDE" w:rsidRDefault="004D1DDE" w:rsidP="0016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0E5C" w14:textId="545D6D30" w:rsidR="00163145" w:rsidRPr="00B361B0" w:rsidRDefault="00163145">
    <w:pPr>
      <w:pStyle w:val="Header"/>
      <w:rPr>
        <w:rFonts w:ascii="Arial" w:hAnsi="Arial" w:cs="Arial"/>
      </w:rPr>
    </w:pPr>
    <w:r w:rsidRPr="00B361B0">
      <w:rPr>
        <w:rFonts w:ascii="Arial" w:hAnsi="Arial" w:cs="Arial"/>
      </w:rPr>
      <w:t>MBQIP Toolkit: Quality and Patient Safety Committee Meeting Agenda/Minute Template</w:t>
    </w:r>
  </w:p>
  <w:p w14:paraId="7D768457" w14:textId="77777777" w:rsidR="00163145" w:rsidRDefault="00163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7A9"/>
    <w:multiLevelType w:val="hybridMultilevel"/>
    <w:tmpl w:val="52FC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62F"/>
    <w:multiLevelType w:val="hybridMultilevel"/>
    <w:tmpl w:val="0F48B2F0"/>
    <w:lvl w:ilvl="0" w:tplc="27E6F74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E68A1"/>
    <w:multiLevelType w:val="hybridMultilevel"/>
    <w:tmpl w:val="497479C8"/>
    <w:lvl w:ilvl="0" w:tplc="27E6F74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391"/>
    <w:multiLevelType w:val="hybridMultilevel"/>
    <w:tmpl w:val="667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23CD7"/>
    <w:multiLevelType w:val="hybridMultilevel"/>
    <w:tmpl w:val="A2B6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C0CED"/>
    <w:multiLevelType w:val="hybridMultilevel"/>
    <w:tmpl w:val="163E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275C5"/>
    <w:multiLevelType w:val="hybridMultilevel"/>
    <w:tmpl w:val="0F8CF4FC"/>
    <w:lvl w:ilvl="0" w:tplc="27E6F74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C28DA"/>
    <w:multiLevelType w:val="hybridMultilevel"/>
    <w:tmpl w:val="FE00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260A"/>
    <w:multiLevelType w:val="hybridMultilevel"/>
    <w:tmpl w:val="230A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10141"/>
    <w:multiLevelType w:val="hybridMultilevel"/>
    <w:tmpl w:val="CC12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175E"/>
    <w:multiLevelType w:val="hybridMultilevel"/>
    <w:tmpl w:val="1F44B7EC"/>
    <w:lvl w:ilvl="0" w:tplc="4EF8D5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43ACD"/>
    <w:multiLevelType w:val="hybridMultilevel"/>
    <w:tmpl w:val="1E7A9A5E"/>
    <w:lvl w:ilvl="0" w:tplc="0B226E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55AD"/>
    <w:multiLevelType w:val="hybridMultilevel"/>
    <w:tmpl w:val="45DC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95547"/>
    <w:multiLevelType w:val="hybridMultilevel"/>
    <w:tmpl w:val="AFE2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A1697"/>
    <w:multiLevelType w:val="hybridMultilevel"/>
    <w:tmpl w:val="B3C0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07B5C"/>
    <w:multiLevelType w:val="hybridMultilevel"/>
    <w:tmpl w:val="A8F2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11382"/>
    <w:multiLevelType w:val="hybridMultilevel"/>
    <w:tmpl w:val="0920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A96"/>
    <w:multiLevelType w:val="hybridMultilevel"/>
    <w:tmpl w:val="112ABE48"/>
    <w:lvl w:ilvl="0" w:tplc="0B226E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1AD2F60"/>
    <w:multiLevelType w:val="hybridMultilevel"/>
    <w:tmpl w:val="6B2E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412C6"/>
    <w:multiLevelType w:val="hybridMultilevel"/>
    <w:tmpl w:val="AE2A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5379C"/>
    <w:multiLevelType w:val="hybridMultilevel"/>
    <w:tmpl w:val="2FA2C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D22CF6"/>
    <w:multiLevelType w:val="hybridMultilevel"/>
    <w:tmpl w:val="427A9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B03D9B"/>
    <w:multiLevelType w:val="hybridMultilevel"/>
    <w:tmpl w:val="631E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C4E7C"/>
    <w:multiLevelType w:val="hybridMultilevel"/>
    <w:tmpl w:val="1C9C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655B"/>
    <w:multiLevelType w:val="hybridMultilevel"/>
    <w:tmpl w:val="23EA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85523"/>
    <w:multiLevelType w:val="hybridMultilevel"/>
    <w:tmpl w:val="60C6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A5904"/>
    <w:multiLevelType w:val="hybridMultilevel"/>
    <w:tmpl w:val="7652B908"/>
    <w:lvl w:ilvl="0" w:tplc="27E6F7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A3CC7"/>
    <w:multiLevelType w:val="hybridMultilevel"/>
    <w:tmpl w:val="A46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56F0A"/>
    <w:multiLevelType w:val="hybridMultilevel"/>
    <w:tmpl w:val="2220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35A04"/>
    <w:multiLevelType w:val="hybridMultilevel"/>
    <w:tmpl w:val="3D8A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5"/>
  </w:num>
  <w:num w:numId="4">
    <w:abstractNumId w:val="29"/>
  </w:num>
  <w:num w:numId="5">
    <w:abstractNumId w:val="28"/>
  </w:num>
  <w:num w:numId="6">
    <w:abstractNumId w:val="23"/>
  </w:num>
  <w:num w:numId="7">
    <w:abstractNumId w:val="21"/>
  </w:num>
  <w:num w:numId="8">
    <w:abstractNumId w:val="16"/>
  </w:num>
  <w:num w:numId="9">
    <w:abstractNumId w:val="13"/>
  </w:num>
  <w:num w:numId="10">
    <w:abstractNumId w:val="22"/>
  </w:num>
  <w:num w:numId="11">
    <w:abstractNumId w:val="5"/>
  </w:num>
  <w:num w:numId="12">
    <w:abstractNumId w:val="14"/>
  </w:num>
  <w:num w:numId="13">
    <w:abstractNumId w:val="19"/>
  </w:num>
  <w:num w:numId="14">
    <w:abstractNumId w:val="3"/>
  </w:num>
  <w:num w:numId="15">
    <w:abstractNumId w:val="8"/>
  </w:num>
  <w:num w:numId="16">
    <w:abstractNumId w:val="24"/>
  </w:num>
  <w:num w:numId="17">
    <w:abstractNumId w:val="4"/>
  </w:num>
  <w:num w:numId="18">
    <w:abstractNumId w:val="0"/>
  </w:num>
  <w:num w:numId="19">
    <w:abstractNumId w:val="12"/>
  </w:num>
  <w:num w:numId="20">
    <w:abstractNumId w:val="15"/>
  </w:num>
  <w:num w:numId="21">
    <w:abstractNumId w:val="18"/>
  </w:num>
  <w:num w:numId="22">
    <w:abstractNumId w:val="27"/>
  </w:num>
  <w:num w:numId="23">
    <w:abstractNumId w:val="9"/>
  </w:num>
  <w:num w:numId="24">
    <w:abstractNumId w:val="7"/>
  </w:num>
  <w:num w:numId="25">
    <w:abstractNumId w:val="6"/>
  </w:num>
  <w:num w:numId="26">
    <w:abstractNumId w:val="2"/>
  </w:num>
  <w:num w:numId="27">
    <w:abstractNumId w:val="1"/>
  </w:num>
  <w:num w:numId="28">
    <w:abstractNumId w:val="17"/>
  </w:num>
  <w:num w:numId="29">
    <w:abstractNumId w:val="1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A"/>
    <w:rsid w:val="0001071B"/>
    <w:rsid w:val="00011C68"/>
    <w:rsid w:val="00012D30"/>
    <w:rsid w:val="00014B4C"/>
    <w:rsid w:val="00024014"/>
    <w:rsid w:val="00043BCD"/>
    <w:rsid w:val="000504B7"/>
    <w:rsid w:val="00055AC6"/>
    <w:rsid w:val="00061826"/>
    <w:rsid w:val="00066D4E"/>
    <w:rsid w:val="000673BC"/>
    <w:rsid w:val="00074DC9"/>
    <w:rsid w:val="00085CB8"/>
    <w:rsid w:val="00091C3F"/>
    <w:rsid w:val="00096186"/>
    <w:rsid w:val="000A1453"/>
    <w:rsid w:val="000A2672"/>
    <w:rsid w:val="000A68C3"/>
    <w:rsid w:val="000C51E2"/>
    <w:rsid w:val="000E202D"/>
    <w:rsid w:val="000F2CDC"/>
    <w:rsid w:val="000F44BA"/>
    <w:rsid w:val="001008D6"/>
    <w:rsid w:val="00107DF5"/>
    <w:rsid w:val="00111C45"/>
    <w:rsid w:val="00126B73"/>
    <w:rsid w:val="00132C09"/>
    <w:rsid w:val="0014157B"/>
    <w:rsid w:val="00144132"/>
    <w:rsid w:val="00144A73"/>
    <w:rsid w:val="00144D74"/>
    <w:rsid w:val="00147D0F"/>
    <w:rsid w:val="00154054"/>
    <w:rsid w:val="00156AE4"/>
    <w:rsid w:val="00163145"/>
    <w:rsid w:val="001679BD"/>
    <w:rsid w:val="00180C0E"/>
    <w:rsid w:val="001A1123"/>
    <w:rsid w:val="001A19F9"/>
    <w:rsid w:val="001B6555"/>
    <w:rsid w:val="001B6C2C"/>
    <w:rsid w:val="001C252C"/>
    <w:rsid w:val="001C56D0"/>
    <w:rsid w:val="001E2994"/>
    <w:rsid w:val="001E5A92"/>
    <w:rsid w:val="001E79F8"/>
    <w:rsid w:val="001F1C20"/>
    <w:rsid w:val="00217245"/>
    <w:rsid w:val="002300D7"/>
    <w:rsid w:val="00231E1F"/>
    <w:rsid w:val="00236A12"/>
    <w:rsid w:val="00247555"/>
    <w:rsid w:val="002564E1"/>
    <w:rsid w:val="00270CA6"/>
    <w:rsid w:val="00275CD3"/>
    <w:rsid w:val="002767B0"/>
    <w:rsid w:val="00280651"/>
    <w:rsid w:val="002863FB"/>
    <w:rsid w:val="002A4D78"/>
    <w:rsid w:val="002C17A6"/>
    <w:rsid w:val="002C52D3"/>
    <w:rsid w:val="002C5CD2"/>
    <w:rsid w:val="002E4A41"/>
    <w:rsid w:val="002E7439"/>
    <w:rsid w:val="002F61D6"/>
    <w:rsid w:val="003321AD"/>
    <w:rsid w:val="00332BB3"/>
    <w:rsid w:val="00334021"/>
    <w:rsid w:val="003405E9"/>
    <w:rsid w:val="00340C5A"/>
    <w:rsid w:val="00343059"/>
    <w:rsid w:val="00351549"/>
    <w:rsid w:val="0035525B"/>
    <w:rsid w:val="00366137"/>
    <w:rsid w:val="00370156"/>
    <w:rsid w:val="003743D0"/>
    <w:rsid w:val="0038272A"/>
    <w:rsid w:val="00392726"/>
    <w:rsid w:val="00392EC1"/>
    <w:rsid w:val="0039492B"/>
    <w:rsid w:val="003A1ACA"/>
    <w:rsid w:val="003B7492"/>
    <w:rsid w:val="003C3463"/>
    <w:rsid w:val="003D516D"/>
    <w:rsid w:val="003F034D"/>
    <w:rsid w:val="003F2512"/>
    <w:rsid w:val="004053D9"/>
    <w:rsid w:val="00413A23"/>
    <w:rsid w:val="00456F91"/>
    <w:rsid w:val="0046351E"/>
    <w:rsid w:val="00476724"/>
    <w:rsid w:val="00477E76"/>
    <w:rsid w:val="00486DCB"/>
    <w:rsid w:val="004D1DDE"/>
    <w:rsid w:val="004E1326"/>
    <w:rsid w:val="004F18E9"/>
    <w:rsid w:val="00506989"/>
    <w:rsid w:val="00514318"/>
    <w:rsid w:val="00521F4C"/>
    <w:rsid w:val="0052296D"/>
    <w:rsid w:val="005269D7"/>
    <w:rsid w:val="005317E1"/>
    <w:rsid w:val="0053278A"/>
    <w:rsid w:val="00534D0A"/>
    <w:rsid w:val="005363FC"/>
    <w:rsid w:val="00544606"/>
    <w:rsid w:val="00554C2E"/>
    <w:rsid w:val="00574419"/>
    <w:rsid w:val="00575F24"/>
    <w:rsid w:val="00577D85"/>
    <w:rsid w:val="00585E54"/>
    <w:rsid w:val="00586919"/>
    <w:rsid w:val="005B5FAD"/>
    <w:rsid w:val="005B6EA4"/>
    <w:rsid w:val="005D2726"/>
    <w:rsid w:val="005D4650"/>
    <w:rsid w:val="005E08A5"/>
    <w:rsid w:val="005E2614"/>
    <w:rsid w:val="005F5D24"/>
    <w:rsid w:val="005F7570"/>
    <w:rsid w:val="00603D52"/>
    <w:rsid w:val="00623FFE"/>
    <w:rsid w:val="00652A61"/>
    <w:rsid w:val="00665C88"/>
    <w:rsid w:val="00671174"/>
    <w:rsid w:val="00677663"/>
    <w:rsid w:val="00697087"/>
    <w:rsid w:val="006A33FB"/>
    <w:rsid w:val="006A61D0"/>
    <w:rsid w:val="006B1412"/>
    <w:rsid w:val="006D4F9E"/>
    <w:rsid w:val="007173D8"/>
    <w:rsid w:val="007240C1"/>
    <w:rsid w:val="00724811"/>
    <w:rsid w:val="00731A33"/>
    <w:rsid w:val="00733F18"/>
    <w:rsid w:val="00735725"/>
    <w:rsid w:val="00746DF4"/>
    <w:rsid w:val="00773165"/>
    <w:rsid w:val="00774C06"/>
    <w:rsid w:val="0077615E"/>
    <w:rsid w:val="00781473"/>
    <w:rsid w:val="00786371"/>
    <w:rsid w:val="00794696"/>
    <w:rsid w:val="007B5D50"/>
    <w:rsid w:val="007B6962"/>
    <w:rsid w:val="007C3CD9"/>
    <w:rsid w:val="007D69E5"/>
    <w:rsid w:val="007E7E26"/>
    <w:rsid w:val="007F028C"/>
    <w:rsid w:val="00833244"/>
    <w:rsid w:val="008429F1"/>
    <w:rsid w:val="00876466"/>
    <w:rsid w:val="008779A5"/>
    <w:rsid w:val="0088110C"/>
    <w:rsid w:val="00883791"/>
    <w:rsid w:val="008B6F83"/>
    <w:rsid w:val="008E1D98"/>
    <w:rsid w:val="008E27AA"/>
    <w:rsid w:val="008F4E3A"/>
    <w:rsid w:val="008F5BC5"/>
    <w:rsid w:val="008F62BF"/>
    <w:rsid w:val="009012C1"/>
    <w:rsid w:val="00902906"/>
    <w:rsid w:val="0090361C"/>
    <w:rsid w:val="00907608"/>
    <w:rsid w:val="00910730"/>
    <w:rsid w:val="00916E12"/>
    <w:rsid w:val="00920D83"/>
    <w:rsid w:val="0095044C"/>
    <w:rsid w:val="00953913"/>
    <w:rsid w:val="009624AA"/>
    <w:rsid w:val="00972571"/>
    <w:rsid w:val="009754B9"/>
    <w:rsid w:val="00996193"/>
    <w:rsid w:val="009A541E"/>
    <w:rsid w:val="009A79ED"/>
    <w:rsid w:val="009B7312"/>
    <w:rsid w:val="009C0661"/>
    <w:rsid w:val="009C5567"/>
    <w:rsid w:val="009E420A"/>
    <w:rsid w:val="009F2E34"/>
    <w:rsid w:val="009F2FAF"/>
    <w:rsid w:val="00A0010B"/>
    <w:rsid w:val="00A13CD0"/>
    <w:rsid w:val="00A15171"/>
    <w:rsid w:val="00A17A46"/>
    <w:rsid w:val="00A320A0"/>
    <w:rsid w:val="00A338A9"/>
    <w:rsid w:val="00A343A7"/>
    <w:rsid w:val="00A413D1"/>
    <w:rsid w:val="00A42C5C"/>
    <w:rsid w:val="00A451BD"/>
    <w:rsid w:val="00A4733E"/>
    <w:rsid w:val="00A51224"/>
    <w:rsid w:val="00A54263"/>
    <w:rsid w:val="00A55624"/>
    <w:rsid w:val="00A61DEF"/>
    <w:rsid w:val="00A82875"/>
    <w:rsid w:val="00A84399"/>
    <w:rsid w:val="00A9623E"/>
    <w:rsid w:val="00AA0E51"/>
    <w:rsid w:val="00AB0B00"/>
    <w:rsid w:val="00AB16E2"/>
    <w:rsid w:val="00AC0605"/>
    <w:rsid w:val="00AD38A0"/>
    <w:rsid w:val="00AD4367"/>
    <w:rsid w:val="00AD5522"/>
    <w:rsid w:val="00AE1578"/>
    <w:rsid w:val="00AE34D7"/>
    <w:rsid w:val="00AE7B31"/>
    <w:rsid w:val="00AF11B2"/>
    <w:rsid w:val="00AF6A08"/>
    <w:rsid w:val="00B0734C"/>
    <w:rsid w:val="00B35A97"/>
    <w:rsid w:val="00B361B0"/>
    <w:rsid w:val="00B41C72"/>
    <w:rsid w:val="00B50C51"/>
    <w:rsid w:val="00B57B8A"/>
    <w:rsid w:val="00B57E20"/>
    <w:rsid w:val="00B72B62"/>
    <w:rsid w:val="00BA321A"/>
    <w:rsid w:val="00BB3FA4"/>
    <w:rsid w:val="00BB7141"/>
    <w:rsid w:val="00BC03DD"/>
    <w:rsid w:val="00BD6558"/>
    <w:rsid w:val="00BE2D0F"/>
    <w:rsid w:val="00BE4E12"/>
    <w:rsid w:val="00BF5BAB"/>
    <w:rsid w:val="00C07166"/>
    <w:rsid w:val="00C1621C"/>
    <w:rsid w:val="00C41E72"/>
    <w:rsid w:val="00C428FD"/>
    <w:rsid w:val="00C47328"/>
    <w:rsid w:val="00C57667"/>
    <w:rsid w:val="00C65EC9"/>
    <w:rsid w:val="00C925DA"/>
    <w:rsid w:val="00C970A9"/>
    <w:rsid w:val="00CA7C61"/>
    <w:rsid w:val="00CB3155"/>
    <w:rsid w:val="00CC0AE7"/>
    <w:rsid w:val="00CD2AD3"/>
    <w:rsid w:val="00D05981"/>
    <w:rsid w:val="00D10E1D"/>
    <w:rsid w:val="00D12A3E"/>
    <w:rsid w:val="00D131CD"/>
    <w:rsid w:val="00D4518D"/>
    <w:rsid w:val="00D61029"/>
    <w:rsid w:val="00D65E12"/>
    <w:rsid w:val="00D72928"/>
    <w:rsid w:val="00D804E5"/>
    <w:rsid w:val="00D856D9"/>
    <w:rsid w:val="00D92B34"/>
    <w:rsid w:val="00DA6303"/>
    <w:rsid w:val="00DB5335"/>
    <w:rsid w:val="00DC723B"/>
    <w:rsid w:val="00DC7AF9"/>
    <w:rsid w:val="00DE2BC1"/>
    <w:rsid w:val="00DF0A7B"/>
    <w:rsid w:val="00DF5847"/>
    <w:rsid w:val="00E02A38"/>
    <w:rsid w:val="00E117AF"/>
    <w:rsid w:val="00E141B0"/>
    <w:rsid w:val="00E238CF"/>
    <w:rsid w:val="00E2502F"/>
    <w:rsid w:val="00E44D65"/>
    <w:rsid w:val="00E45123"/>
    <w:rsid w:val="00E719FF"/>
    <w:rsid w:val="00E833BF"/>
    <w:rsid w:val="00E87030"/>
    <w:rsid w:val="00E974E4"/>
    <w:rsid w:val="00EA0F37"/>
    <w:rsid w:val="00EA2CA3"/>
    <w:rsid w:val="00EB57CF"/>
    <w:rsid w:val="00EE2D53"/>
    <w:rsid w:val="00F0758E"/>
    <w:rsid w:val="00F10479"/>
    <w:rsid w:val="00F1647D"/>
    <w:rsid w:val="00F36C66"/>
    <w:rsid w:val="00F435BD"/>
    <w:rsid w:val="00F50CE1"/>
    <w:rsid w:val="00F61C67"/>
    <w:rsid w:val="00F76682"/>
    <w:rsid w:val="00F77202"/>
    <w:rsid w:val="00F95A91"/>
    <w:rsid w:val="00F972BC"/>
    <w:rsid w:val="00FB4D3C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1C9E"/>
  <w15:chartTrackingRefBased/>
  <w15:docId w15:val="{A7D6E4FC-717B-4CAC-A366-A917FC0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BA"/>
    <w:pPr>
      <w:ind w:left="720"/>
      <w:contextualSpacing/>
    </w:pPr>
  </w:style>
  <w:style w:type="paragraph" w:styleId="NoSpacing">
    <w:name w:val="No Spacing"/>
    <w:uiPriority w:val="1"/>
    <w:qFormat/>
    <w:rsid w:val="008F5B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64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145"/>
  </w:style>
  <w:style w:type="paragraph" w:styleId="Footer">
    <w:name w:val="footer"/>
    <w:basedOn w:val="Normal"/>
    <w:link w:val="FooterChar"/>
    <w:uiPriority w:val="99"/>
    <w:unhideWhenUsed/>
    <w:rsid w:val="00163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145"/>
  </w:style>
  <w:style w:type="character" w:styleId="CommentReference">
    <w:name w:val="annotation reference"/>
    <w:basedOn w:val="DefaultParagraphFont"/>
    <w:uiPriority w:val="99"/>
    <w:semiHidden/>
    <w:unhideWhenUsed/>
    <w:rsid w:val="009A7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_Topic xmlns="06aacc57-63d3-4a1c-b9a9-a6c20c4993ad" xsi:nil="true"/>
    <SH_Category xmlns="114cf2ed-3f97-4887-a5ef-3ea13b1ac6d8">Resource</SH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288C93E2E1489194A36478C0D997" ma:contentTypeVersion="2" ma:contentTypeDescription="Create a new document." ma:contentTypeScope="" ma:versionID="2e1425a4e515bc8de1b62be4f6cb4a0c">
  <xsd:schema xmlns:xsd="http://www.w3.org/2001/XMLSchema" xmlns:p="http://schemas.microsoft.com/office/2006/metadata/properties" xmlns:ns2="114cf2ed-3f97-4887-a5ef-3ea13b1ac6d8" xmlns:ns3="06aacc57-63d3-4a1c-b9a9-a6c20c4993ad" targetNamespace="http://schemas.microsoft.com/office/2006/metadata/properties" ma:root="true" ma:fieldsID="29a537ebdc04dad8cd95ca2090f69be4" ns2:_="" ns3:_="">
    <xsd:import namespace="114cf2ed-3f97-4887-a5ef-3ea13b1ac6d8"/>
    <xsd:import namespace="06aacc57-63d3-4a1c-b9a9-a6c20c4993ad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4cf2ed-3f97-4887-a5ef-3ea13b1ac6d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06aacc57-63d3-4a1c-b9a9-a6c20c4993ad" elementFormDefault="qualified">
    <xsd:import namespace="http://schemas.microsoft.com/office/2006/documentManagement/types"/>
    <xsd:element name="SH_Topic" ma:index="9" nillable="true" ma:displayName="SH_Topic" ma:format="RadioButtons" ma:internalName="SH_Topic">
      <xsd:simpleType>
        <xsd:restriction base="dms:Choice">
          <xsd:enumeration value="EDTC"/>
          <xsd:enumeration value="Enhanced TA"/>
          <xsd:enumeration value="FMT"/>
          <xsd:enumeration value="FORHP"/>
          <xsd:enumeration value="MBQIP VKG"/>
          <xsd:enumeration value="Monthly Reporting Reminders"/>
          <xsd:enumeration value="TA Reporting"/>
          <xsd:enumeration value="TA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DBDD66A-0A68-4411-A5D7-2EE942251989}">
  <ds:schemaRefs>
    <ds:schemaRef ds:uri="http://purl.org/dc/elements/1.1/"/>
    <ds:schemaRef ds:uri="http://purl.org/dc/terms/"/>
    <ds:schemaRef ds:uri="114cf2ed-3f97-4887-a5ef-3ea13b1ac6d8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6aacc57-63d3-4a1c-b9a9-a6c20c4993a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95283B-68D4-4EB9-A8B6-BCC0D4B14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8A3B0-A015-4B91-B173-EA763CB00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f2ed-3f97-4887-a5ef-3ea13b1ac6d8"/>
    <ds:schemaRef ds:uri="06aacc57-63d3-4a1c-b9a9-a6c20c4993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255AD2-4BDF-4687-87C0-7052144CCEB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A203E1B</Template>
  <TotalTime>1</TotalTime>
  <Pages>3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MBQIP Toolkit: Quality/Patient Safety agenda/minute template</vt:lpstr>
    </vt:vector>
  </TitlesOfParts>
  <Company>Stratis Health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MBQIP Toolkit: Quality/Patient Safety agenda/minute template</dc:title>
  <dc:subject/>
  <dc:creator>Karla Weng</dc:creator>
  <cp:keywords/>
  <dc:description/>
  <cp:lastModifiedBy>Marilyn Grafstrom</cp:lastModifiedBy>
  <cp:revision>2</cp:revision>
  <dcterms:created xsi:type="dcterms:W3CDTF">2016-02-17T16:36:00Z</dcterms:created>
  <dcterms:modified xsi:type="dcterms:W3CDTF">2016-02-17T16:36:00Z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0x0101000ED4288C93E2E1489194A36478C0D997</vt:lpwstr>
  </property>
</Properties>
</file>